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554818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554818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554818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554818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54818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554818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554818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73036748" w:rsidR="00AB609F" w:rsidRPr="008A385C" w:rsidRDefault="00CC31F6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4S.04.11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77BE01C4" w:rsidR="00AB609F" w:rsidRPr="008A385C" w:rsidRDefault="00CC31F6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 y Documentos Enviados al INE a Solicitud del IEPAC</w:t>
            </w:r>
          </w:p>
        </w:tc>
      </w:tr>
      <w:tr w:rsidR="008A385C" w:rsidRPr="008A385C" w14:paraId="50057E97" w14:textId="77777777" w:rsidTr="00554818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554818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554818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554818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554818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554818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554818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554818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554818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554818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554818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554818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554818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588EB0C4" w14:textId="77777777" w:rsidR="00CC31F6" w:rsidRDefault="00CC31F6" w:rsidP="00A40D2C">
            <w:pPr>
              <w:rPr>
                <w:rFonts w:ascii="Arial" w:hAnsi="Arial" w:cs="Arial"/>
                <w:b/>
              </w:rPr>
            </w:pPr>
          </w:p>
          <w:p w14:paraId="2B7CEEA6" w14:textId="4A0C6515" w:rsidR="00CC31F6" w:rsidRDefault="00F06513" w:rsidP="00A40D2C">
            <w:pPr>
              <w:rPr>
                <w:rFonts w:ascii="Arial" w:hAnsi="Arial" w:cs="Arial"/>
                <w:b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  <w:r w:rsidR="00CC31F6" w:rsidRPr="00F06513">
              <w:rPr>
                <w:rFonts w:ascii="Arial" w:hAnsi="Arial" w:cs="Arial"/>
                <w:b/>
              </w:rPr>
              <w:t xml:space="preserve"> </w:t>
            </w:r>
          </w:p>
          <w:p w14:paraId="14794624" w14:textId="77777777" w:rsidR="00CC31F6" w:rsidRDefault="00CC31F6" w:rsidP="00A40D2C">
            <w:pPr>
              <w:rPr>
                <w:rFonts w:ascii="Arial" w:hAnsi="Arial" w:cs="Arial"/>
                <w:b/>
              </w:rPr>
            </w:pPr>
          </w:p>
          <w:p w14:paraId="26DEC9F4" w14:textId="31AEA83F" w:rsidR="00F06513" w:rsidRPr="00F06513" w:rsidRDefault="00CC31F6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del Registro Federal de Electores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del Servicio Profesional Electoral Nacional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Prerrogativas y Partidos Políticos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Capacitación Electoral y Educación Cívica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Organización Electoral</w:t>
            </w:r>
            <w:r>
              <w:rPr>
                <w:rFonts w:ascii="Arial" w:hAnsi="Arial" w:cs="Arial"/>
              </w:rPr>
              <w:t xml:space="preserve">, </w:t>
            </w:r>
            <w:r w:rsidRPr="000E2E44">
              <w:rPr>
                <w:rFonts w:ascii="Arial" w:hAnsi="Arial" w:cs="Arial"/>
              </w:rPr>
              <w:t>Dirección Ejecutiva de Administración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Nacional de Comunicación Social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de Asuntos Internacionales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lo Contencioso Electoral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Jurídica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del Secretariado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Transparencia y Protección de Datos Personales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14:paraId="17159436" w14:textId="77777777" w:rsidTr="00554818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6C5A4343" w:rsidR="001F21BA" w:rsidRPr="0064732A" w:rsidRDefault="00F06513" w:rsidP="001F21BA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</w:rPr>
              <w:t>Comisión Permanente de Comisión de Comunicación y Debates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Sistemas Informáticos y Programa Resultados Electorales Preliminares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Supervisión al desarrollo e Implementación del Sistema “Candidatas y Candidatos, Conóceles”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Seguimiento al Convenio y Plan Integral del proceso Electoral Concurrente 2023-2024 con el INE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para el seguimiento de los Cómputos Distritales y Municipales en el Estado de Yucatán</w:t>
            </w:r>
            <w:r w:rsidR="0040553F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r w:rsidR="0040553F" w:rsidRPr="0040553F">
              <w:rPr>
                <w:rFonts w:ascii="Arial" w:hAnsi="Arial" w:cs="Arial"/>
              </w:rPr>
              <w:t>Comisión Temporal de Documentación y Material Electoral</w:t>
            </w:r>
            <w:r w:rsidR="0040553F"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554818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554818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554818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554818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554818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554818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554818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554818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554818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554818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554818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554818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554818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554818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06B4E1D8" w14:textId="77777777" w:rsidR="00CC31F6" w:rsidRDefault="00CC31F6" w:rsidP="00CC31F6">
            <w:pPr>
              <w:rPr>
                <w:rFonts w:ascii="Arial" w:hAnsi="Arial" w:cs="Arial"/>
                <w:b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  <w:r w:rsidRPr="00F06513">
              <w:rPr>
                <w:rFonts w:ascii="Arial" w:hAnsi="Arial" w:cs="Arial"/>
                <w:b/>
              </w:rPr>
              <w:t xml:space="preserve"> </w:t>
            </w:r>
          </w:p>
          <w:p w14:paraId="6448C820" w14:textId="77777777" w:rsidR="00CC31F6" w:rsidRDefault="00CC31F6" w:rsidP="00CC31F6">
            <w:pPr>
              <w:rPr>
                <w:rFonts w:ascii="Arial" w:hAnsi="Arial" w:cs="Arial"/>
                <w:b/>
              </w:rPr>
            </w:pPr>
          </w:p>
          <w:p w14:paraId="54B2D4AB" w14:textId="5732575A" w:rsidR="00527D67" w:rsidRDefault="00CC31F6" w:rsidP="00CC31F6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del Registro Federal de Electores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del Servicio Profesional Electoral Nacional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Prerrogativas y Partidos Políticos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Capacitación Electoral y Educación Cívica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Organización Electoral</w:t>
            </w:r>
            <w:r>
              <w:rPr>
                <w:rFonts w:ascii="Arial" w:hAnsi="Arial" w:cs="Arial"/>
              </w:rPr>
              <w:t xml:space="preserve">, </w:t>
            </w:r>
            <w:r w:rsidRPr="000E2E44">
              <w:rPr>
                <w:rFonts w:ascii="Arial" w:hAnsi="Arial" w:cs="Arial"/>
              </w:rPr>
              <w:t>Dirección Ejecutiva de Administración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Nacional de Comunicación Social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de Asuntos Internacionales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lo Contencioso Electoral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Jurídica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del Secretariado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Transparencia y Protección de Datos Personales</w:t>
            </w:r>
            <w:r>
              <w:rPr>
                <w:rFonts w:ascii="Arial" w:hAnsi="Arial" w:cs="Arial"/>
              </w:rPr>
              <w:t>.</w:t>
            </w:r>
          </w:p>
          <w:p w14:paraId="29F3DD29" w14:textId="6ACBED15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554818" w14:paraId="1C13E222" w14:textId="77777777" w:rsidTr="00554818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871" w14:textId="77777777" w:rsidR="00554818" w:rsidRDefault="00554818">
            <w:pPr>
              <w:rPr>
                <w:rFonts w:ascii="Arial" w:hAnsi="Arial" w:cs="Arial"/>
              </w:rPr>
            </w:pPr>
          </w:p>
          <w:p w14:paraId="5FA85DAC" w14:textId="77777777" w:rsidR="00554818" w:rsidRDefault="00554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591E7948" w14:textId="77777777" w:rsidR="00554818" w:rsidRDefault="00554818">
            <w:pPr>
              <w:rPr>
                <w:rFonts w:ascii="Arial" w:hAnsi="Arial" w:cs="Arial"/>
              </w:rPr>
            </w:pPr>
          </w:p>
          <w:p w14:paraId="011FAB48" w14:textId="77777777" w:rsidR="00554818" w:rsidRDefault="00554818">
            <w:pPr>
              <w:rPr>
                <w:rFonts w:ascii="Arial" w:hAnsi="Arial" w:cs="Arial"/>
              </w:rPr>
            </w:pPr>
          </w:p>
          <w:p w14:paraId="36FAA0C1" w14:textId="77777777" w:rsidR="00554818" w:rsidRDefault="00554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47F5DD69" w14:textId="77777777" w:rsidR="00554818" w:rsidRDefault="00554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3E3BED85" w14:textId="77777777" w:rsidR="00554818" w:rsidRDefault="00554818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554818" w14:paraId="18D0B10E" w14:textId="77777777" w:rsidTr="00554818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B86" w14:textId="77777777" w:rsidR="00554818" w:rsidRDefault="00554818">
            <w:pPr>
              <w:rPr>
                <w:rFonts w:ascii="Arial" w:hAnsi="Arial" w:cs="Arial"/>
                <w:b/>
              </w:rPr>
            </w:pPr>
          </w:p>
          <w:p w14:paraId="6D163DDB" w14:textId="77777777" w:rsidR="00554818" w:rsidRDefault="0055481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094FF405" w14:textId="77777777" w:rsidR="00554818" w:rsidRDefault="00554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5B512839" w14:textId="77777777" w:rsidR="00554818" w:rsidRDefault="00554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53810CB0" w14:textId="77777777" w:rsidR="00554818" w:rsidRDefault="00554818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554818" w14:paraId="7FF3E179" w14:textId="77777777" w:rsidTr="00554818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5E5" w14:textId="77777777" w:rsidR="00554818" w:rsidRDefault="00554818">
            <w:pPr>
              <w:rPr>
                <w:rFonts w:ascii="Arial" w:hAnsi="Arial" w:cs="Arial"/>
              </w:rPr>
            </w:pPr>
          </w:p>
          <w:p w14:paraId="3EC5A152" w14:textId="77777777" w:rsidR="00554818" w:rsidRDefault="00554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3ECAAA4B" w14:textId="77777777" w:rsidR="00554818" w:rsidRDefault="00554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554818" w14:paraId="77C7910C" w14:textId="77777777" w:rsidTr="00554818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DE42E" w14:textId="77777777" w:rsidR="00554818" w:rsidRDefault="00554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E147F7B" w14:textId="77777777" w:rsidR="00554818" w:rsidRDefault="00554818" w:rsidP="00554818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554818" w14:paraId="25914DEF" w14:textId="77777777" w:rsidTr="00554818">
        <w:trPr>
          <w:trHeight w:val="946"/>
        </w:trPr>
        <w:tc>
          <w:tcPr>
            <w:tcW w:w="4713" w:type="dxa"/>
          </w:tcPr>
          <w:p w14:paraId="336B70EB" w14:textId="77777777" w:rsidR="00554818" w:rsidRDefault="00554818">
            <w:pPr>
              <w:rPr>
                <w:rFonts w:ascii="Arial" w:hAnsi="Arial" w:cs="Arial"/>
              </w:rPr>
            </w:pPr>
          </w:p>
          <w:p w14:paraId="3BD7BC0A" w14:textId="77777777" w:rsidR="00554818" w:rsidRDefault="00554818">
            <w:pPr>
              <w:jc w:val="center"/>
              <w:rPr>
                <w:rFonts w:ascii="Arial" w:hAnsi="Arial" w:cs="Arial"/>
              </w:rPr>
            </w:pPr>
          </w:p>
          <w:p w14:paraId="5E55AF36" w14:textId="77777777" w:rsidR="00554818" w:rsidRDefault="00554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182F93D2" w14:textId="77777777" w:rsidR="00554818" w:rsidRDefault="005548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744693A9" w14:textId="77777777" w:rsidR="00554818" w:rsidRDefault="005548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529BB952" w14:textId="77777777" w:rsidR="00554818" w:rsidRDefault="00554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3B21739A" w14:textId="77777777" w:rsidR="00554818" w:rsidRDefault="00554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0D5CBB9B" w14:textId="77777777" w:rsidR="00554818" w:rsidRDefault="00554818">
            <w:pPr>
              <w:jc w:val="center"/>
              <w:rPr>
                <w:rFonts w:ascii="Arial" w:hAnsi="Arial" w:cs="Arial"/>
              </w:rPr>
            </w:pPr>
          </w:p>
          <w:p w14:paraId="3995E8EC" w14:textId="77777777" w:rsidR="00554818" w:rsidRDefault="00554818">
            <w:pPr>
              <w:jc w:val="center"/>
              <w:rPr>
                <w:rFonts w:ascii="Arial" w:hAnsi="Arial" w:cs="Arial"/>
              </w:rPr>
            </w:pPr>
          </w:p>
          <w:p w14:paraId="471587BE" w14:textId="77777777" w:rsidR="00554818" w:rsidRDefault="00554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20054DFB" w14:textId="77777777" w:rsidR="00554818" w:rsidRDefault="005548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068D5461" w14:textId="77777777" w:rsidR="00554818" w:rsidRDefault="005548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76EAB792" w14:textId="77777777" w:rsidR="00554818" w:rsidRDefault="005548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2FC86C6C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818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54818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31F6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E082-F486-4D2D-9EB9-022EEDE9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2024-03-28T22:50:00Z</cp:lastPrinted>
  <dcterms:created xsi:type="dcterms:W3CDTF">2023-01-12T17:47:00Z</dcterms:created>
  <dcterms:modified xsi:type="dcterms:W3CDTF">2024-03-28T22:50:00Z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